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24F34" w14:textId="77777777" w:rsidR="00460ADB" w:rsidRPr="00B974FC" w:rsidRDefault="00460ADB" w:rsidP="00460ADB">
      <w:pPr>
        <w:spacing w:after="0" w:line="240" w:lineRule="auto"/>
        <w:jc w:val="center"/>
        <w:rPr>
          <w:rStyle w:val="BookTitle"/>
        </w:rPr>
      </w:pPr>
      <w:r w:rsidRPr="00B974FC">
        <w:rPr>
          <w:rStyle w:val="BookTitle"/>
        </w:rPr>
        <w:t>Ikgadējais VSIA “Jaunais Rīgas teātris”</w:t>
      </w:r>
    </w:p>
    <w:p w14:paraId="2455212F" w14:textId="77777777" w:rsidR="00460ADB" w:rsidRPr="00B974FC" w:rsidRDefault="00460ADB" w:rsidP="00460ADB">
      <w:pPr>
        <w:spacing w:after="0" w:line="240" w:lineRule="auto"/>
        <w:jc w:val="center"/>
        <w:rPr>
          <w:rStyle w:val="BookTitle"/>
        </w:rPr>
      </w:pPr>
      <w:r w:rsidRPr="00B974FC">
        <w:rPr>
          <w:rStyle w:val="BookTitle"/>
        </w:rPr>
        <w:t>Korupcijas riskam pakļauto amatu izvērtējums</w:t>
      </w:r>
    </w:p>
    <w:p w14:paraId="70E6D0C1" w14:textId="6A646F8D" w:rsidR="00460ADB" w:rsidRPr="00B974FC" w:rsidRDefault="00460ADB" w:rsidP="00460ADB">
      <w:pPr>
        <w:spacing w:after="0" w:line="240" w:lineRule="auto"/>
        <w:jc w:val="center"/>
        <w:rPr>
          <w:rStyle w:val="BookTitle"/>
        </w:rPr>
      </w:pPr>
      <w:r w:rsidRPr="00B974FC">
        <w:rPr>
          <w:rStyle w:val="BookTitle"/>
        </w:rPr>
        <w:t>201</w:t>
      </w:r>
      <w:r>
        <w:rPr>
          <w:rStyle w:val="BookTitle"/>
        </w:rPr>
        <w:t>7</w:t>
      </w:r>
      <w:r w:rsidRPr="00B974FC">
        <w:rPr>
          <w:rStyle w:val="BookTitle"/>
        </w:rPr>
        <w:t>. gads</w:t>
      </w:r>
    </w:p>
    <w:p w14:paraId="61E35D4B" w14:textId="77777777" w:rsidR="00460ADB" w:rsidRDefault="00460ADB" w:rsidP="00460ADB">
      <w:pPr>
        <w:spacing w:after="0" w:line="240" w:lineRule="auto"/>
        <w:jc w:val="center"/>
      </w:pPr>
    </w:p>
    <w:tbl>
      <w:tblPr>
        <w:tblStyle w:val="TableGrid"/>
        <w:tblW w:w="14312" w:type="dxa"/>
        <w:tblLook w:val="04A0" w:firstRow="1" w:lastRow="0" w:firstColumn="1" w:lastColumn="0" w:noHBand="0" w:noVBand="1"/>
      </w:tblPr>
      <w:tblGrid>
        <w:gridCol w:w="2852"/>
        <w:gridCol w:w="2173"/>
        <w:gridCol w:w="2175"/>
        <w:gridCol w:w="2198"/>
        <w:gridCol w:w="4914"/>
      </w:tblGrid>
      <w:tr w:rsidR="00460ADB" w:rsidRPr="00B974FC" w14:paraId="6EF87F1D" w14:textId="77777777" w:rsidTr="00460ADB">
        <w:tc>
          <w:tcPr>
            <w:tcW w:w="2852" w:type="dxa"/>
          </w:tcPr>
          <w:p w14:paraId="6A7EF6B6" w14:textId="77777777" w:rsidR="00460ADB" w:rsidRPr="00B974FC" w:rsidRDefault="00460ADB" w:rsidP="00E42CDF">
            <w:pPr>
              <w:pStyle w:val="Subtitle"/>
              <w:jc w:val="center"/>
              <w:rPr>
                <w:rStyle w:val="SubtleEmphasis"/>
              </w:rPr>
            </w:pPr>
            <w:r w:rsidRPr="00B974FC">
              <w:rPr>
                <w:rStyle w:val="SubtleEmphasis"/>
              </w:rPr>
              <w:t>Riska pakāpe</w:t>
            </w:r>
          </w:p>
        </w:tc>
        <w:tc>
          <w:tcPr>
            <w:tcW w:w="2173" w:type="dxa"/>
          </w:tcPr>
          <w:p w14:paraId="23CB969C" w14:textId="77777777" w:rsidR="00460ADB" w:rsidRPr="00B974FC" w:rsidRDefault="00460ADB" w:rsidP="00E42CDF">
            <w:pPr>
              <w:pStyle w:val="Subtitle"/>
              <w:jc w:val="center"/>
              <w:rPr>
                <w:rStyle w:val="SubtleEmphasis"/>
              </w:rPr>
            </w:pPr>
            <w:r w:rsidRPr="00B974FC">
              <w:rPr>
                <w:rStyle w:val="SubtleEmphasis"/>
              </w:rPr>
              <w:t>Riskam pakļautie amati</w:t>
            </w:r>
          </w:p>
        </w:tc>
        <w:tc>
          <w:tcPr>
            <w:tcW w:w="2175" w:type="dxa"/>
          </w:tcPr>
          <w:p w14:paraId="545DA720" w14:textId="77777777" w:rsidR="00460ADB" w:rsidRPr="00B974FC" w:rsidRDefault="00460ADB" w:rsidP="00E42CDF">
            <w:pPr>
              <w:pStyle w:val="Subtitle"/>
              <w:jc w:val="center"/>
              <w:rPr>
                <w:rStyle w:val="SubtleEmphasis"/>
              </w:rPr>
            </w:pPr>
            <w:r w:rsidRPr="00B974FC">
              <w:rPr>
                <w:rStyle w:val="SubtleEmphasis"/>
              </w:rPr>
              <w:t>Amatos nodarbinātie darbinieki</w:t>
            </w:r>
          </w:p>
        </w:tc>
        <w:tc>
          <w:tcPr>
            <w:tcW w:w="2198" w:type="dxa"/>
          </w:tcPr>
          <w:p w14:paraId="27E16944" w14:textId="77777777" w:rsidR="00460ADB" w:rsidRPr="00B974FC" w:rsidRDefault="00460ADB" w:rsidP="00E42CDF">
            <w:pPr>
              <w:pStyle w:val="Subtitle"/>
              <w:jc w:val="center"/>
              <w:rPr>
                <w:rStyle w:val="SubtleEmphasis"/>
              </w:rPr>
            </w:pPr>
            <w:r w:rsidRPr="00B974FC">
              <w:rPr>
                <w:rStyle w:val="SubtleEmphasis"/>
              </w:rPr>
              <w:t>Riska iestāšanās iespējamība – amata funkcijas, pienākumi</w:t>
            </w:r>
          </w:p>
        </w:tc>
        <w:tc>
          <w:tcPr>
            <w:tcW w:w="4914" w:type="dxa"/>
          </w:tcPr>
          <w:p w14:paraId="0D902C19" w14:textId="77777777" w:rsidR="00460ADB" w:rsidRPr="00B974FC" w:rsidRDefault="00460ADB" w:rsidP="00E42CDF">
            <w:pPr>
              <w:pStyle w:val="Subtitle"/>
              <w:jc w:val="center"/>
              <w:rPr>
                <w:rStyle w:val="SubtleEmphasis"/>
              </w:rPr>
            </w:pPr>
            <w:r w:rsidRPr="00B974FC">
              <w:rPr>
                <w:rStyle w:val="SubtleEmphasis"/>
              </w:rPr>
              <w:t>Riska novērtējuma pamatojums</w:t>
            </w:r>
          </w:p>
        </w:tc>
      </w:tr>
      <w:tr w:rsidR="00460ADB" w:rsidRPr="00B974FC" w14:paraId="07BFBDB8" w14:textId="77777777" w:rsidTr="00217440">
        <w:trPr>
          <w:trHeight w:val="519"/>
        </w:trPr>
        <w:tc>
          <w:tcPr>
            <w:tcW w:w="2852" w:type="dxa"/>
          </w:tcPr>
          <w:p w14:paraId="4E31790A" w14:textId="77777777" w:rsidR="00460ADB" w:rsidRPr="00B974FC" w:rsidRDefault="00460ADB" w:rsidP="00217440">
            <w:r w:rsidRPr="00B974FC">
              <w:t>augsts korupcijas risks</w:t>
            </w:r>
          </w:p>
        </w:tc>
        <w:tc>
          <w:tcPr>
            <w:tcW w:w="2173" w:type="dxa"/>
          </w:tcPr>
          <w:p w14:paraId="5AFD5810" w14:textId="77777777" w:rsidR="00460ADB" w:rsidRPr="00B974FC" w:rsidRDefault="00460ADB" w:rsidP="00217440">
            <w:r w:rsidRPr="00B974FC">
              <w:t>0</w:t>
            </w:r>
          </w:p>
        </w:tc>
        <w:tc>
          <w:tcPr>
            <w:tcW w:w="2175" w:type="dxa"/>
          </w:tcPr>
          <w:p w14:paraId="44283913" w14:textId="77777777" w:rsidR="00460ADB" w:rsidRPr="00B974FC" w:rsidRDefault="00460ADB" w:rsidP="00217440"/>
        </w:tc>
        <w:tc>
          <w:tcPr>
            <w:tcW w:w="2198" w:type="dxa"/>
          </w:tcPr>
          <w:p w14:paraId="562270E2" w14:textId="77777777" w:rsidR="00460ADB" w:rsidRPr="00B974FC" w:rsidRDefault="00460ADB" w:rsidP="00217440"/>
        </w:tc>
        <w:tc>
          <w:tcPr>
            <w:tcW w:w="4914" w:type="dxa"/>
          </w:tcPr>
          <w:p w14:paraId="025165EC" w14:textId="77777777" w:rsidR="00460ADB" w:rsidRPr="00B974FC" w:rsidRDefault="00460ADB" w:rsidP="00217440"/>
        </w:tc>
      </w:tr>
      <w:tr w:rsidR="00460ADB" w:rsidRPr="00B974FC" w14:paraId="715B6389" w14:textId="77777777" w:rsidTr="00217440">
        <w:trPr>
          <w:trHeight w:val="424"/>
        </w:trPr>
        <w:tc>
          <w:tcPr>
            <w:tcW w:w="2852" w:type="dxa"/>
          </w:tcPr>
          <w:p w14:paraId="61DDEB0D" w14:textId="77777777" w:rsidR="00460ADB" w:rsidRPr="00B974FC" w:rsidRDefault="00460ADB" w:rsidP="00217440">
            <w:r w:rsidRPr="00B974FC">
              <w:t>vidējs korupcijas risks</w:t>
            </w:r>
          </w:p>
        </w:tc>
        <w:tc>
          <w:tcPr>
            <w:tcW w:w="2173" w:type="dxa"/>
          </w:tcPr>
          <w:p w14:paraId="198F2CD4" w14:textId="77777777" w:rsidR="00460ADB" w:rsidRPr="00B974FC" w:rsidRDefault="00460ADB" w:rsidP="00217440">
            <w:r w:rsidRPr="00B974FC">
              <w:t>0</w:t>
            </w:r>
          </w:p>
        </w:tc>
        <w:tc>
          <w:tcPr>
            <w:tcW w:w="2175" w:type="dxa"/>
          </w:tcPr>
          <w:p w14:paraId="24B786C7" w14:textId="77777777" w:rsidR="00460ADB" w:rsidRPr="00B974FC" w:rsidRDefault="00460ADB" w:rsidP="00217440"/>
        </w:tc>
        <w:tc>
          <w:tcPr>
            <w:tcW w:w="2198" w:type="dxa"/>
          </w:tcPr>
          <w:p w14:paraId="2FBA37E4" w14:textId="77777777" w:rsidR="00460ADB" w:rsidRPr="00B974FC" w:rsidRDefault="00460ADB" w:rsidP="00217440"/>
        </w:tc>
        <w:tc>
          <w:tcPr>
            <w:tcW w:w="4914" w:type="dxa"/>
          </w:tcPr>
          <w:p w14:paraId="15FEF721" w14:textId="77777777" w:rsidR="00460ADB" w:rsidRPr="00B974FC" w:rsidRDefault="00460ADB" w:rsidP="00217440"/>
        </w:tc>
      </w:tr>
      <w:tr w:rsidR="00460ADB" w:rsidRPr="00B974FC" w14:paraId="2AE6C192" w14:textId="77777777" w:rsidTr="00460ADB">
        <w:tc>
          <w:tcPr>
            <w:tcW w:w="2852" w:type="dxa"/>
          </w:tcPr>
          <w:p w14:paraId="5A066199" w14:textId="77777777" w:rsidR="00460ADB" w:rsidRPr="00B974FC" w:rsidRDefault="00460ADB" w:rsidP="00E42CDF">
            <w:pPr>
              <w:pStyle w:val="IntenseQuote"/>
              <w:rPr>
                <w:rFonts w:ascii="Calibri" w:hAnsi="Calibri"/>
              </w:rPr>
            </w:pPr>
            <w:r w:rsidRPr="00B974FC">
              <w:rPr>
                <w:rFonts w:ascii="Calibri" w:hAnsi="Calibri"/>
              </w:rPr>
              <w:t>zems korupcijas risks</w:t>
            </w:r>
          </w:p>
        </w:tc>
        <w:tc>
          <w:tcPr>
            <w:tcW w:w="2173" w:type="dxa"/>
          </w:tcPr>
          <w:p w14:paraId="41DB1AE6" w14:textId="77777777" w:rsidR="00460ADB" w:rsidRPr="00B974FC" w:rsidRDefault="00460ADB" w:rsidP="00E42CDF">
            <w:pPr>
              <w:rPr>
                <w:rFonts w:ascii="Calibri" w:hAnsi="Calibri"/>
              </w:rPr>
            </w:pPr>
            <w:r w:rsidRPr="00B974FC">
              <w:rPr>
                <w:rFonts w:ascii="Calibri" w:hAnsi="Calibri"/>
              </w:rPr>
              <w:t>iepirkumu komisijas locekļi</w:t>
            </w:r>
          </w:p>
        </w:tc>
        <w:tc>
          <w:tcPr>
            <w:tcW w:w="2175" w:type="dxa"/>
          </w:tcPr>
          <w:p w14:paraId="0DA3CE1D" w14:textId="77777777" w:rsidR="00460ADB" w:rsidRPr="00B974FC" w:rsidRDefault="00460ADB" w:rsidP="00E42CDF">
            <w:pPr>
              <w:rPr>
                <w:rFonts w:ascii="Calibri" w:hAnsi="Calibri"/>
              </w:rPr>
            </w:pPr>
            <w:r w:rsidRPr="00B974FC">
              <w:rPr>
                <w:rFonts w:ascii="Calibri" w:hAnsi="Calibri"/>
              </w:rPr>
              <w:t>3 darbinieki, no kuriem viens uzņēmuma vadītājs</w:t>
            </w:r>
          </w:p>
        </w:tc>
        <w:tc>
          <w:tcPr>
            <w:tcW w:w="2198" w:type="dxa"/>
          </w:tcPr>
          <w:p w14:paraId="6026D8DE" w14:textId="77777777" w:rsidR="00460ADB" w:rsidRPr="00B974FC" w:rsidRDefault="00460ADB" w:rsidP="00D81F8F">
            <w:pPr>
              <w:jc w:val="both"/>
              <w:rPr>
                <w:rFonts w:ascii="Calibri" w:hAnsi="Calibri"/>
              </w:rPr>
            </w:pPr>
            <w:r w:rsidRPr="00B974FC">
              <w:rPr>
                <w:rFonts w:ascii="Calibri" w:hAnsi="Calibri"/>
              </w:rPr>
              <w:t>Iepirkuma procedūru veikšana, publisko iepirkumu uzvarētāja noteikšana</w:t>
            </w:r>
          </w:p>
        </w:tc>
        <w:tc>
          <w:tcPr>
            <w:tcW w:w="4914" w:type="dxa"/>
          </w:tcPr>
          <w:p w14:paraId="4D5AAE8A" w14:textId="77777777" w:rsidR="00460ADB" w:rsidRPr="00B974FC" w:rsidRDefault="00460ADB" w:rsidP="00D81F8F">
            <w:pPr>
              <w:jc w:val="both"/>
              <w:rPr>
                <w:rFonts w:ascii="Calibri" w:hAnsi="Calibri"/>
              </w:rPr>
            </w:pPr>
            <w:r w:rsidRPr="00B974FC">
              <w:rPr>
                <w:rFonts w:ascii="Calibri" w:hAnsi="Calibri"/>
              </w:rPr>
              <w:t xml:space="preserve">Iepirkumu komisijas locekļi lēmumus pieņem koleģiāli, iepriekš uzklausot nozares ekspertu atzinumus par piedāvājumu atbilstību iepirkuma mērķa sasniegšanai. Lēmumi tiek pieņemti atbilstoši normatīvajos aktos noteiktajai procedūrai, nav novērots neviens gadījums, kad iepirkumu komisijas locekļi būtu bijuši personīgi ieinteresēti kāda konkrēta pretendenta piedāvājuma izvēlē.  </w:t>
            </w:r>
          </w:p>
        </w:tc>
      </w:tr>
      <w:tr w:rsidR="00460ADB" w:rsidRPr="00B974FC" w14:paraId="0C433D2F" w14:textId="77777777" w:rsidTr="00460ADB">
        <w:tc>
          <w:tcPr>
            <w:tcW w:w="2852" w:type="dxa"/>
          </w:tcPr>
          <w:p w14:paraId="719CC4EB" w14:textId="77777777" w:rsidR="00460ADB" w:rsidRPr="00B974FC" w:rsidRDefault="00460ADB" w:rsidP="00E42CDF">
            <w:pPr>
              <w:pStyle w:val="IntenseQuote"/>
              <w:rPr>
                <w:rFonts w:ascii="Calibri" w:hAnsi="Calibri"/>
              </w:rPr>
            </w:pPr>
          </w:p>
        </w:tc>
        <w:tc>
          <w:tcPr>
            <w:tcW w:w="2173" w:type="dxa"/>
          </w:tcPr>
          <w:p w14:paraId="263B6522" w14:textId="77777777" w:rsidR="00460ADB" w:rsidRPr="00B974FC" w:rsidRDefault="00460ADB" w:rsidP="00E42CDF">
            <w:pPr>
              <w:rPr>
                <w:rFonts w:ascii="Calibri" w:hAnsi="Calibri"/>
              </w:rPr>
            </w:pPr>
            <w:r w:rsidRPr="00B974FC">
              <w:rPr>
                <w:rFonts w:ascii="Calibri" w:hAnsi="Calibri"/>
              </w:rPr>
              <w:t>izrāžu direktors</w:t>
            </w:r>
          </w:p>
        </w:tc>
        <w:tc>
          <w:tcPr>
            <w:tcW w:w="2175" w:type="dxa"/>
          </w:tcPr>
          <w:p w14:paraId="4FA38345" w14:textId="77777777" w:rsidR="00460ADB" w:rsidRPr="00B974FC" w:rsidRDefault="00460ADB" w:rsidP="00E42CDF">
            <w:pPr>
              <w:rPr>
                <w:rFonts w:ascii="Calibri" w:hAnsi="Calibri"/>
              </w:rPr>
            </w:pPr>
            <w:r w:rsidRPr="00B974FC">
              <w:rPr>
                <w:rFonts w:ascii="Calibri" w:hAnsi="Calibri"/>
              </w:rPr>
              <w:t>2 darbinieki</w:t>
            </w:r>
          </w:p>
        </w:tc>
        <w:tc>
          <w:tcPr>
            <w:tcW w:w="2198" w:type="dxa"/>
          </w:tcPr>
          <w:p w14:paraId="4EEFD791" w14:textId="77777777" w:rsidR="00460ADB" w:rsidRPr="00B974FC" w:rsidRDefault="00460ADB" w:rsidP="00D81F8F">
            <w:pPr>
              <w:jc w:val="both"/>
              <w:rPr>
                <w:rFonts w:ascii="Calibri" w:hAnsi="Calibri"/>
              </w:rPr>
            </w:pPr>
            <w:r w:rsidRPr="00B974FC">
              <w:rPr>
                <w:rFonts w:ascii="Calibri" w:hAnsi="Calibri"/>
              </w:rPr>
              <w:t>Jauniestudējumu sagatavošana, pakalpojumu sniedzēju, preču piegādātāju izvēle</w:t>
            </w:r>
          </w:p>
        </w:tc>
        <w:tc>
          <w:tcPr>
            <w:tcW w:w="4914" w:type="dxa"/>
          </w:tcPr>
          <w:p w14:paraId="622DA5EC" w14:textId="79A2EE14" w:rsidR="00460ADB" w:rsidRPr="00B974FC" w:rsidRDefault="00460ADB" w:rsidP="00D81F8F">
            <w:pPr>
              <w:jc w:val="both"/>
              <w:rPr>
                <w:rFonts w:ascii="Calibri" w:hAnsi="Calibri"/>
              </w:rPr>
            </w:pPr>
            <w:r w:rsidRPr="00B974FC">
              <w:rPr>
                <w:rFonts w:ascii="Calibri" w:hAnsi="Calibri"/>
              </w:rPr>
              <w:t>Darbinieki lēmumus par kapitālsabiedrības finanšu līdzekļu un/ vai mantas izlietošanu nepieņem vienpersoniski, bet sniedz priekšlikumus iestādes vadītājam un gala lēmums tiek pieņemts, balstoties uz tirgus situācijas izvērtējumu, attiecīgā lēmuma lietderību un efektivitāti</w:t>
            </w:r>
            <w:r w:rsidR="00884DFA">
              <w:rPr>
                <w:rFonts w:ascii="Calibri" w:hAnsi="Calibri"/>
              </w:rPr>
              <w:t>.</w:t>
            </w:r>
          </w:p>
        </w:tc>
      </w:tr>
      <w:tr w:rsidR="00460ADB" w:rsidRPr="00B974FC" w14:paraId="57483592" w14:textId="77777777" w:rsidTr="00460ADB">
        <w:tc>
          <w:tcPr>
            <w:tcW w:w="2852" w:type="dxa"/>
          </w:tcPr>
          <w:p w14:paraId="0A8EDD83" w14:textId="77777777" w:rsidR="00460ADB" w:rsidRPr="00B974FC" w:rsidRDefault="00460ADB" w:rsidP="00E42CDF">
            <w:pPr>
              <w:pStyle w:val="IntenseQuote"/>
              <w:rPr>
                <w:rFonts w:ascii="Calibri" w:hAnsi="Calibri"/>
              </w:rPr>
            </w:pPr>
          </w:p>
        </w:tc>
        <w:tc>
          <w:tcPr>
            <w:tcW w:w="2173" w:type="dxa"/>
          </w:tcPr>
          <w:p w14:paraId="25D4AF3A" w14:textId="77777777" w:rsidR="00460ADB" w:rsidRPr="00B974FC" w:rsidRDefault="00460ADB" w:rsidP="00E42CDF">
            <w:pPr>
              <w:rPr>
                <w:rFonts w:ascii="Calibri" w:hAnsi="Calibri"/>
              </w:rPr>
            </w:pPr>
            <w:r w:rsidRPr="00B974FC">
              <w:rPr>
                <w:rFonts w:ascii="Calibri" w:hAnsi="Calibri"/>
              </w:rPr>
              <w:t>uzvedumu daļas vadītājs</w:t>
            </w:r>
          </w:p>
        </w:tc>
        <w:tc>
          <w:tcPr>
            <w:tcW w:w="2175" w:type="dxa"/>
          </w:tcPr>
          <w:p w14:paraId="6B53063B" w14:textId="77777777" w:rsidR="00460ADB" w:rsidRPr="00B974FC" w:rsidRDefault="00460ADB" w:rsidP="00E42CDF">
            <w:pPr>
              <w:rPr>
                <w:rFonts w:ascii="Calibri" w:hAnsi="Calibri"/>
              </w:rPr>
            </w:pPr>
            <w:r w:rsidRPr="00B974FC">
              <w:rPr>
                <w:rFonts w:ascii="Calibri" w:hAnsi="Calibri"/>
              </w:rPr>
              <w:t>1 darbinieks</w:t>
            </w:r>
          </w:p>
        </w:tc>
        <w:tc>
          <w:tcPr>
            <w:tcW w:w="2198" w:type="dxa"/>
          </w:tcPr>
          <w:p w14:paraId="6B22EE2E" w14:textId="77777777" w:rsidR="00460ADB" w:rsidRPr="00B974FC" w:rsidRDefault="00460ADB" w:rsidP="00D81F8F">
            <w:pPr>
              <w:jc w:val="both"/>
              <w:rPr>
                <w:rFonts w:ascii="Calibri" w:hAnsi="Calibri"/>
              </w:rPr>
            </w:pPr>
            <w:r w:rsidRPr="00B974FC">
              <w:rPr>
                <w:rFonts w:ascii="Calibri" w:hAnsi="Calibri"/>
              </w:rPr>
              <w:t>Dekorāciju izgatavošanas un remonta pakalpojumu sniedzēju izvērtēšana, teātra iestudējuma tehniskā aprīkojuma sagatavošanas un uzturēšanas ietvaros</w:t>
            </w:r>
          </w:p>
        </w:tc>
        <w:tc>
          <w:tcPr>
            <w:tcW w:w="4914" w:type="dxa"/>
          </w:tcPr>
          <w:p w14:paraId="36185884" w14:textId="77777777" w:rsidR="00460ADB" w:rsidRPr="00B974FC" w:rsidRDefault="00460ADB" w:rsidP="00D81F8F">
            <w:pPr>
              <w:jc w:val="both"/>
              <w:rPr>
                <w:rFonts w:ascii="Calibri" w:hAnsi="Calibri"/>
              </w:rPr>
            </w:pPr>
            <w:r w:rsidRPr="00B974FC">
              <w:rPr>
                <w:rFonts w:ascii="Calibri" w:hAnsi="Calibri"/>
              </w:rPr>
              <w:t>Darbinieks lēmumus par kapitālsabiedrības finanšu līdzekļu un/ vai mantas izlietošanu nepieņem vienpersoniski, bet sniedz priekšlikumus iestādes vadītājam un gala lēmums tiek pieņemts, balstoties uz tirgus situācijas izvērtējumu, attiecīgā lēmuma lietderību un efektivitāti.</w:t>
            </w:r>
          </w:p>
          <w:p w14:paraId="5F0898E4" w14:textId="77777777" w:rsidR="00460ADB" w:rsidRPr="00B974FC" w:rsidRDefault="00460ADB" w:rsidP="00D81F8F">
            <w:pPr>
              <w:jc w:val="both"/>
              <w:rPr>
                <w:rFonts w:ascii="Calibri" w:hAnsi="Calibri"/>
              </w:rPr>
            </w:pPr>
            <w:r w:rsidRPr="00B974FC">
              <w:rPr>
                <w:rFonts w:ascii="Calibri" w:hAnsi="Calibri"/>
              </w:rPr>
              <w:t xml:space="preserve">Darbinieks sniedz priekšlikumus uzņēmuma vadītājam par piedāvāto preču tehnoloģiski labākajiem risinājumiem un pakalpojuma sniedzējiem, kas attiecīgajā situācijā būtu vispiemērotākie pasūtījuma līguma noslēgšanai. Darbinieks izvērtē iespējamo preču piegādātāju, pakalpojumu sniedzēju tehnoloģiskos risinājumus un </w:t>
            </w:r>
            <w:r w:rsidRPr="00B974FC">
              <w:rPr>
                <w:rFonts w:ascii="Calibri" w:hAnsi="Calibri"/>
              </w:rPr>
              <w:lastRenderedPageBreak/>
              <w:t>apkopo finanšu piedāvājumus (tirgus izpēte), lai sniegtu priekšlikumus uzņēmuma vadītājam.</w:t>
            </w:r>
          </w:p>
          <w:p w14:paraId="67DE53F8" w14:textId="77777777" w:rsidR="00460ADB" w:rsidRPr="00B974FC" w:rsidRDefault="00460ADB" w:rsidP="00D81F8F">
            <w:pPr>
              <w:jc w:val="both"/>
              <w:rPr>
                <w:rFonts w:ascii="Calibri" w:hAnsi="Calibri"/>
              </w:rPr>
            </w:pPr>
            <w:r w:rsidRPr="00B974FC">
              <w:rPr>
                <w:rFonts w:ascii="Calibri" w:hAnsi="Calibri"/>
              </w:rPr>
              <w:t>Līgumus slēdz uzņēmuma vadītājs pēc tirgus izpētes vai pēc iepirkuma procedūras veikšanas.</w:t>
            </w:r>
          </w:p>
        </w:tc>
      </w:tr>
      <w:tr w:rsidR="00B831E7" w:rsidRPr="00B974FC" w14:paraId="7EE97E4C" w14:textId="77777777" w:rsidTr="00460ADB">
        <w:tc>
          <w:tcPr>
            <w:tcW w:w="2852" w:type="dxa"/>
          </w:tcPr>
          <w:p w14:paraId="44E82E55" w14:textId="77777777" w:rsidR="00B831E7" w:rsidRPr="00B974FC" w:rsidRDefault="00B831E7" w:rsidP="00E42CDF">
            <w:pPr>
              <w:pStyle w:val="IntenseQuote"/>
              <w:rPr>
                <w:rFonts w:ascii="Calibri" w:hAnsi="Calibri"/>
              </w:rPr>
            </w:pPr>
          </w:p>
        </w:tc>
        <w:tc>
          <w:tcPr>
            <w:tcW w:w="2173" w:type="dxa"/>
          </w:tcPr>
          <w:p w14:paraId="1A465BBE" w14:textId="57167145" w:rsidR="00B831E7" w:rsidRPr="00B974FC" w:rsidRDefault="00B831E7" w:rsidP="00E42CDF">
            <w:pPr>
              <w:rPr>
                <w:rFonts w:ascii="Calibri" w:hAnsi="Calibri"/>
              </w:rPr>
            </w:pPr>
            <w:r>
              <w:rPr>
                <w:rFonts w:ascii="Calibri" w:hAnsi="Calibri"/>
              </w:rPr>
              <w:t>Konstruktors – tehnologs</w:t>
            </w:r>
          </w:p>
        </w:tc>
        <w:tc>
          <w:tcPr>
            <w:tcW w:w="2175" w:type="dxa"/>
          </w:tcPr>
          <w:p w14:paraId="183A568D" w14:textId="11932ECB" w:rsidR="00B831E7" w:rsidRPr="00B974FC" w:rsidRDefault="00B831E7" w:rsidP="00E42CDF">
            <w:pPr>
              <w:rPr>
                <w:rFonts w:ascii="Calibri" w:hAnsi="Calibri"/>
              </w:rPr>
            </w:pPr>
            <w:r w:rsidRPr="00B974FC">
              <w:rPr>
                <w:rFonts w:ascii="Calibri" w:hAnsi="Calibri"/>
              </w:rPr>
              <w:t>1 darbinieks</w:t>
            </w:r>
          </w:p>
        </w:tc>
        <w:tc>
          <w:tcPr>
            <w:tcW w:w="2198" w:type="dxa"/>
          </w:tcPr>
          <w:p w14:paraId="1117207D" w14:textId="7701320F" w:rsidR="00B831E7" w:rsidRPr="00B974FC" w:rsidRDefault="00B831E7" w:rsidP="00D81F8F">
            <w:pPr>
              <w:jc w:val="both"/>
              <w:rPr>
                <w:rFonts w:ascii="Calibri" w:hAnsi="Calibri"/>
              </w:rPr>
            </w:pPr>
            <w:r w:rsidRPr="00B974FC">
              <w:rPr>
                <w:rFonts w:ascii="Calibri" w:hAnsi="Calibri"/>
              </w:rPr>
              <w:t>Dekorāciju izgatavošanas un remonta pakalpojumu sniedzēju izvērtēšana, teātra iestudējuma tehniskā aprīkojuma sagatavošanas un uzturēšanas ietvaros</w:t>
            </w:r>
          </w:p>
        </w:tc>
        <w:tc>
          <w:tcPr>
            <w:tcW w:w="4914" w:type="dxa"/>
          </w:tcPr>
          <w:p w14:paraId="6E338377" w14:textId="77777777" w:rsidR="00B831E7" w:rsidRDefault="00DF7C83" w:rsidP="00D81F8F">
            <w:pPr>
              <w:jc w:val="both"/>
              <w:rPr>
                <w:rFonts w:ascii="Calibri" w:hAnsi="Calibri"/>
              </w:rPr>
            </w:pPr>
            <w:r>
              <w:rPr>
                <w:rFonts w:ascii="Calibri" w:hAnsi="Calibri"/>
              </w:rPr>
              <w:t xml:space="preserve">Darbinieks nepieņem </w:t>
            </w:r>
            <w:r w:rsidRPr="00B974FC">
              <w:rPr>
                <w:rFonts w:ascii="Calibri" w:hAnsi="Calibri"/>
              </w:rPr>
              <w:t>lēmumus par kapitālsabiedrības finanšu līdzekļu un/ vai mantas izlietošanu</w:t>
            </w:r>
            <w:r>
              <w:rPr>
                <w:rFonts w:ascii="Calibri" w:hAnsi="Calibri"/>
              </w:rPr>
              <w:t>, bet gan konsultē uzņēmuma citus darbiniekus un sniedz izvērtējumu, vai potenciālo līgumslēdzēju piedāvājumi ir atbilstoši uzņēmuma vajadzībām un iepirkuma mērķim.</w:t>
            </w:r>
          </w:p>
          <w:p w14:paraId="3F4616E7" w14:textId="0643B2EB" w:rsidR="00DF7C83" w:rsidRPr="00B974FC" w:rsidRDefault="00DF7C83" w:rsidP="00D81F8F">
            <w:pPr>
              <w:jc w:val="both"/>
              <w:rPr>
                <w:rFonts w:ascii="Calibri" w:hAnsi="Calibri"/>
              </w:rPr>
            </w:pPr>
          </w:p>
        </w:tc>
      </w:tr>
      <w:tr w:rsidR="00460ADB" w:rsidRPr="00B974FC" w14:paraId="1845E407" w14:textId="77777777" w:rsidTr="00460ADB">
        <w:tc>
          <w:tcPr>
            <w:tcW w:w="2852" w:type="dxa"/>
          </w:tcPr>
          <w:p w14:paraId="083C1223" w14:textId="77777777" w:rsidR="00460ADB" w:rsidRPr="00B974FC" w:rsidRDefault="00460ADB" w:rsidP="00E42CDF">
            <w:pPr>
              <w:pStyle w:val="IntenseQuote"/>
              <w:rPr>
                <w:rFonts w:ascii="Calibri" w:hAnsi="Calibri"/>
              </w:rPr>
            </w:pPr>
          </w:p>
        </w:tc>
        <w:tc>
          <w:tcPr>
            <w:tcW w:w="2173" w:type="dxa"/>
          </w:tcPr>
          <w:p w14:paraId="03907201" w14:textId="77777777" w:rsidR="00460ADB" w:rsidRPr="00B974FC" w:rsidRDefault="00460ADB" w:rsidP="00E42CDF">
            <w:pPr>
              <w:rPr>
                <w:rFonts w:ascii="Calibri" w:hAnsi="Calibri"/>
              </w:rPr>
            </w:pPr>
            <w:r w:rsidRPr="00B974FC">
              <w:rPr>
                <w:rFonts w:ascii="Calibri" w:hAnsi="Calibri"/>
              </w:rPr>
              <w:t>pārdošanas daļas vadītājs</w:t>
            </w:r>
          </w:p>
        </w:tc>
        <w:tc>
          <w:tcPr>
            <w:tcW w:w="2175" w:type="dxa"/>
          </w:tcPr>
          <w:p w14:paraId="5772470F" w14:textId="77777777" w:rsidR="00460ADB" w:rsidRPr="00B974FC" w:rsidRDefault="00460ADB" w:rsidP="00E42CDF">
            <w:pPr>
              <w:rPr>
                <w:rFonts w:ascii="Calibri" w:hAnsi="Calibri"/>
              </w:rPr>
            </w:pPr>
            <w:r w:rsidRPr="00B974FC">
              <w:rPr>
                <w:rFonts w:ascii="Calibri" w:hAnsi="Calibri"/>
              </w:rPr>
              <w:t>1 darbinieks</w:t>
            </w:r>
          </w:p>
        </w:tc>
        <w:tc>
          <w:tcPr>
            <w:tcW w:w="2198" w:type="dxa"/>
          </w:tcPr>
          <w:p w14:paraId="561CFB37" w14:textId="77777777" w:rsidR="00460ADB" w:rsidRPr="00B974FC" w:rsidRDefault="00460ADB" w:rsidP="00D81F8F">
            <w:pPr>
              <w:jc w:val="both"/>
              <w:rPr>
                <w:rFonts w:ascii="Calibri" w:hAnsi="Calibri"/>
              </w:rPr>
            </w:pPr>
            <w:r w:rsidRPr="00B974FC">
              <w:rPr>
                <w:rFonts w:ascii="Calibri" w:hAnsi="Calibri"/>
              </w:rPr>
              <w:t xml:space="preserve">JRT biļešu ziedojumu izvērtēšana un ziedojumu līgumu slēgšana, lai bezatlīdzības kārtībā piešķirtu ielūgumus uz JRT izrādēm sociāli neaizsargāto grupu pārstāvjiem.  </w:t>
            </w:r>
          </w:p>
        </w:tc>
        <w:tc>
          <w:tcPr>
            <w:tcW w:w="4914" w:type="dxa"/>
          </w:tcPr>
          <w:p w14:paraId="30DE54FB" w14:textId="77777777" w:rsidR="00460ADB" w:rsidRPr="00B974FC" w:rsidRDefault="00460ADB" w:rsidP="00D81F8F">
            <w:pPr>
              <w:jc w:val="both"/>
              <w:rPr>
                <w:rFonts w:ascii="Calibri" w:hAnsi="Calibri"/>
              </w:rPr>
            </w:pPr>
            <w:r w:rsidRPr="00B974FC">
              <w:rPr>
                <w:rFonts w:ascii="Calibri" w:hAnsi="Calibri"/>
              </w:rPr>
              <w:t>Darbinieks lēmumus par kapitālsabiedrības finanšu līdzekļu un/ vai mantas izlietošanu nepieņem vienpersoniski, bet sniedz priekšlikumus iestādes vadītājam un gala lēmums tiek pieņemts, balstoties uz tirgus situācijas izvērtējumu, attiecīgā lēmuma lietderību un efektivitāti.</w:t>
            </w:r>
            <w:bookmarkStart w:id="0" w:name="_GoBack"/>
            <w:bookmarkEnd w:id="0"/>
          </w:p>
          <w:p w14:paraId="5C6EFF84" w14:textId="77777777" w:rsidR="00460ADB" w:rsidRDefault="00460ADB" w:rsidP="00D81F8F">
            <w:pPr>
              <w:jc w:val="both"/>
              <w:rPr>
                <w:rFonts w:ascii="Calibri" w:hAnsi="Calibri"/>
              </w:rPr>
            </w:pPr>
            <w:r w:rsidRPr="00B974FC">
              <w:rPr>
                <w:rFonts w:ascii="Calibri" w:hAnsi="Calibri"/>
              </w:rPr>
              <w:t>JRT biļešu piešķiršana sociāli neaizsargātām grupām pieļaujama tikai noslēdzot ziedojuma līgumu (paraksta uzņēmuma vadītājs)</w:t>
            </w:r>
            <w:r>
              <w:rPr>
                <w:rFonts w:ascii="Calibri" w:hAnsi="Calibri"/>
              </w:rPr>
              <w:t xml:space="preserve">. </w:t>
            </w:r>
          </w:p>
          <w:p w14:paraId="4E627F7E" w14:textId="02D76DAD" w:rsidR="00460ADB" w:rsidRDefault="00460ADB" w:rsidP="00D81F8F">
            <w:pPr>
              <w:jc w:val="both"/>
              <w:rPr>
                <w:rFonts w:ascii="Calibri" w:hAnsi="Calibri"/>
              </w:rPr>
            </w:pPr>
            <w:r>
              <w:rPr>
                <w:rFonts w:ascii="Calibri" w:hAnsi="Calibri"/>
              </w:rPr>
              <w:t xml:space="preserve">Organizatorisku izmaiņu rezultātā no amata pienākumu apjoms atkal papildināts ar  </w:t>
            </w:r>
            <w:r w:rsidRPr="00B974FC">
              <w:rPr>
                <w:rFonts w:ascii="Calibri" w:hAnsi="Calibri"/>
              </w:rPr>
              <w:t>JRT biļešu ielūgumi reprezentācijas un darba vajadzībām izsnie</w:t>
            </w:r>
            <w:r>
              <w:rPr>
                <w:rFonts w:ascii="Calibri" w:hAnsi="Calibri"/>
              </w:rPr>
              <w:t xml:space="preserve">gšanu. Likvidēts iepriekš izveidotais amats – klientu apkalpošanas administrators, un atjaunoti vēsturiski šī amata kompetencē ietilpstošie pienākumi.  </w:t>
            </w:r>
          </w:p>
          <w:p w14:paraId="294D5F18" w14:textId="4E8E3477" w:rsidR="00460ADB" w:rsidRPr="00B974FC" w:rsidRDefault="00460ADB" w:rsidP="00D81F8F">
            <w:pPr>
              <w:jc w:val="both"/>
              <w:rPr>
                <w:rFonts w:ascii="Calibri" w:hAnsi="Calibri"/>
              </w:rPr>
            </w:pPr>
            <w:r>
              <w:rPr>
                <w:rFonts w:ascii="Calibri" w:hAnsi="Calibri"/>
              </w:rPr>
              <w:t>J</w:t>
            </w:r>
            <w:r w:rsidRPr="00B974FC">
              <w:rPr>
                <w:rFonts w:ascii="Calibri" w:hAnsi="Calibri"/>
              </w:rPr>
              <w:t>RT biļešu ielūgumi reprezentācijas un darba vajadzībām izsniedzami tikai pēc norādītā mērķa pamatojuma izvērtējuma (rakstiskus pieteikumus apstiprina uzņēmuma vadītājs).</w:t>
            </w:r>
          </w:p>
        </w:tc>
      </w:tr>
    </w:tbl>
    <w:p w14:paraId="2E49372F" w14:textId="77777777" w:rsidR="00B3274F" w:rsidRDefault="00B3274F"/>
    <w:sectPr w:rsidR="00B3274F" w:rsidSect="00460ADB">
      <w:pgSz w:w="16838" w:h="11906" w:orient="landscape"/>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DB"/>
    <w:rsid w:val="00017B66"/>
    <w:rsid w:val="001F5441"/>
    <w:rsid w:val="00217440"/>
    <w:rsid w:val="00387ABF"/>
    <w:rsid w:val="00460ADB"/>
    <w:rsid w:val="00884DFA"/>
    <w:rsid w:val="00B3274F"/>
    <w:rsid w:val="00B831E7"/>
    <w:rsid w:val="00D42037"/>
    <w:rsid w:val="00D81F8F"/>
    <w:rsid w:val="00DF7C83"/>
    <w:rsid w:val="00E043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3CC1"/>
  <w15:chartTrackingRefBased/>
  <w15:docId w15:val="{306B702D-6FF6-48E6-90CF-CE925046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60A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0ADB"/>
    <w:rPr>
      <w:i/>
      <w:iCs/>
      <w:color w:val="4472C4" w:themeColor="accent1"/>
    </w:rPr>
  </w:style>
  <w:style w:type="character" w:styleId="SubtleEmphasis">
    <w:name w:val="Subtle Emphasis"/>
    <w:basedOn w:val="DefaultParagraphFont"/>
    <w:uiPriority w:val="19"/>
    <w:qFormat/>
    <w:rsid w:val="00460ADB"/>
    <w:rPr>
      <w:i/>
      <w:iCs/>
      <w:color w:val="404040" w:themeColor="text1" w:themeTint="BF"/>
    </w:rPr>
  </w:style>
  <w:style w:type="paragraph" w:styleId="Subtitle">
    <w:name w:val="Subtitle"/>
    <w:basedOn w:val="Normal"/>
    <w:next w:val="Normal"/>
    <w:link w:val="SubtitleChar"/>
    <w:uiPriority w:val="11"/>
    <w:qFormat/>
    <w:rsid w:val="00460A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0ADB"/>
    <w:rPr>
      <w:rFonts w:eastAsiaTheme="minorEastAsia"/>
      <w:color w:val="5A5A5A" w:themeColor="text1" w:themeTint="A5"/>
      <w:spacing w:val="15"/>
    </w:rPr>
  </w:style>
  <w:style w:type="character" w:styleId="BookTitle">
    <w:name w:val="Book Title"/>
    <w:basedOn w:val="DefaultParagraphFont"/>
    <w:uiPriority w:val="33"/>
    <w:qFormat/>
    <w:rsid w:val="00460AD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Galzone</dc:creator>
  <cp:keywords/>
  <dc:description/>
  <cp:lastModifiedBy>Windows User</cp:lastModifiedBy>
  <cp:revision>3</cp:revision>
  <dcterms:created xsi:type="dcterms:W3CDTF">2018-12-12T10:19:00Z</dcterms:created>
  <dcterms:modified xsi:type="dcterms:W3CDTF">2018-12-12T10:21:00Z</dcterms:modified>
</cp:coreProperties>
</file>